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1A3F7A"/>
          <w:sz w:val="36"/>
        </w:rPr>
        <w:t>对公流贷贷前交叉核验工作底稿</w:t>
      </w:r>
    </w:p>
    <w:p>
      <w:pPr>
        <w:jc w:val="center"/>
      </w:pPr>
      <w:r>
        <w:rPr>
          <w:i/>
          <w:color w:val="555555"/>
          <w:sz w:val="22"/>
        </w:rPr>
        <w:t>（贷前调查 · 交叉核验 · 过程留痕）</w:t>
      </w:r>
    </w:p>
    <w:p/>
    <w:p>
      <w:pPr>
        <w:pStyle w:val="Heading1"/>
      </w:pPr>
      <w:r>
        <w:rPr>
          <w:color w:val="1A3F7A"/>
          <w:sz w:val="26"/>
        </w:rPr>
        <w:t>一、基本信息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借款人名称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统一社会信用代码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申请贷款金额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（万元）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贷款期限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流水期间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至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核查日期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客户经理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  <w:t>复核人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1A3F7A"/>
          <w:sz w:val="26"/>
        </w:rPr>
        <w:t>二、第一步：交易对手穿透分析</w:t>
      </w:r>
    </w:p>
    <w:p>
      <w:pPr>
        <w:pStyle w:val="ListNumber"/>
      </w:pPr>
      <w:r>
        <w:t>（一）前十大交易对手清单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排名</w:t>
            </w:r>
          </w:p>
        </w:tc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交易对手名称</w:t>
            </w:r>
          </w:p>
        </w:tc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交易金额（万元）</w:t>
            </w:r>
          </w:p>
        </w:tc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占经营性流水比例</w:t>
            </w:r>
          </w:p>
        </w:tc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是否关联方</w:t>
            </w:r>
          </w:p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1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2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3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4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5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6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7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8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9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>
            <w:r>
              <w:rPr>
                <w:rFonts w:ascii="微软雅黑" w:hAnsi="微软雅黑"/>
                <w:sz w:val="18"/>
              </w:rPr>
              <w:t>10</w:t>
            </w:r>
          </w:p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</w:tbl>
    <w:p/>
    <w:p>
      <w:pPr>
        <w:pStyle w:val="ListNumber"/>
      </w:pPr>
      <w:r>
        <w:t>（二）关联交易占比计算</w:t>
      </w:r>
    </w:p>
    <w:p>
      <w:r>
        <w:t>关联交易总金额：____________ 万元</w:t>
      </w:r>
    </w:p>
    <w:p>
      <w:r>
        <w:t>经营性流水总金额：____________ 万元</w:t>
      </w:r>
    </w:p>
    <w:p>
      <w:r>
        <w:t>关联交易占比：____________ %</w:t>
      </w:r>
    </w:p>
    <w:p>
      <w:r>
        <w:t>⚠️ 执行标准：关联交易占比超40%需逐笔解释。</w:t>
      </w:r>
    </w:p>
    <w:p/>
    <w:p>
      <w:pPr>
        <w:pStyle w:val="Heading1"/>
      </w:pPr>
      <w:r>
        <w:rPr>
          <w:color w:val="1A3F7A"/>
          <w:sz w:val="26"/>
        </w:rPr>
        <w:t>三、第二步：资金停留时长监测</w:t>
      </w:r>
    </w:p>
    <w:p>
      <w:pPr>
        <w:pStyle w:val="ListNumber"/>
      </w:pPr>
      <w:r>
        <w:t>（一）大额进账清单（单笔≥平均交易额3倍）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序号</w:t>
            </w:r>
          </w:p>
        </w:tc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入账日期</w:t>
            </w:r>
          </w:p>
        </w:tc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金额（万元）</w:t>
            </w:r>
          </w:p>
        </w:tc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出账日期</w:t>
            </w:r>
          </w:p>
        </w:tc>
        <w:tc>
          <w:tcPr>
            <w:tcW w:type="dxa" w:w="1814"/>
          </w:tcPr>
          <w:p>
            <w:r>
              <w:rPr>
                <w:rFonts w:ascii="微软雅黑" w:hAnsi="微软雅黑"/>
                <w:b/>
                <w:sz w:val="18"/>
              </w:rPr>
              <w:t>停留天数</w:t>
            </w:r>
          </w:p>
        </w:tc>
      </w:tr>
      <w:tr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  <w:tr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</w:tr>
    </w:tbl>
    <w:p/>
    <w:p>
      <w:r>
        <w:t>（二）资金停留时长中位数：____________ 天</w:t>
      </w:r>
    </w:p>
    <w:p>
      <w:r>
        <w:t>⚠️ 执行标准：停留时长中位数低于1.5天一票否决。</w:t>
      </w:r>
    </w:p>
    <w:p/>
    <w:p>
      <w:pPr>
        <w:pStyle w:val="Heading1"/>
      </w:pPr>
      <w:r>
        <w:rPr>
          <w:color w:val="1A3F7A"/>
          <w:sz w:val="26"/>
        </w:rPr>
        <w:t>四、第三步：经营逻辑闭环验证</w:t>
      </w:r>
    </w:p>
    <w:p>
      <w:r>
        <w:t>闭环证据组清单（每组需包含：对手名单+三单核对+闭环路径说明）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18"/>
              </w:rPr>
              <w:t>序号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18"/>
              </w:rPr>
              <w:t>交易对手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18"/>
              </w:rPr>
              <w:t>三单核对结果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18"/>
              </w:rPr>
              <w:t>闭环路径说明</w:t>
            </w:r>
          </w:p>
        </w:tc>
      </w:tr>
      <w:tr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</w:tr>
      <w:tr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</w:tr>
      <w:tr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</w:tr>
      <w:tr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</w:tr>
    </w:tbl>
    <w:p/>
    <w:p>
      <w:r>
        <w:t>完整闭环证据组数：____________ 组</w:t>
      </w:r>
    </w:p>
    <w:p>
      <w:r>
        <w:t>⚠️ 执行标准：无法提供3组闭环证据不得进入审批。</w:t>
      </w:r>
    </w:p>
    <w:p/>
    <w:p>
      <w:pPr>
        <w:pStyle w:val="Heading1"/>
      </w:pPr>
      <w:r>
        <w:rPr>
          <w:color w:val="1A3F7A"/>
          <w:sz w:val="26"/>
        </w:rPr>
        <w:t>五、纳税申报比对</w:t>
      </w:r>
    </w:p>
    <w:p>
      <w:r>
        <w:t>纳税申报销售额：____________ 万元</w:t>
      </w:r>
    </w:p>
    <w:p>
      <w:r>
        <w:t>银行流水销售估算额：____________ 万元</w:t>
      </w:r>
    </w:p>
    <w:p>
      <w:r>
        <w:t>差异比例：____________ %</w:t>
      </w:r>
    </w:p>
    <w:p>
      <w:r>
        <w:t>差异说明：</w:t>
      </w:r>
    </w:p>
    <w:p>
      <w:r>
        <w:t>⚠️ 执行标准：差异超20%需书面说明，超50%直接0分。</w:t>
      </w:r>
    </w:p>
    <w:p/>
    <w:p>
      <w:pPr>
        <w:pStyle w:val="Heading1"/>
      </w:pPr>
      <w:r>
        <w:rPr>
          <w:color w:val="1A3F7A"/>
          <w:sz w:val="26"/>
        </w:rPr>
        <w:t>六、核查结论</w:t>
      </w:r>
    </w:p>
    <w:p>
      <w:r>
        <w:t>流水健康度评分：____________ 分（≥80分健康 / 60-79分关注 / &lt;60分危险）</w:t>
      </w:r>
    </w:p>
    <w:p>
      <w:r>
        <w:t>风险判断：</w:t>
      </w:r>
    </w:p>
    <w:p>
      <w:r>
        <w:t xml:space="preserve">  □ 健康（建议继续审批）</w:t>
      </w:r>
    </w:p>
    <w:p>
      <w:r>
        <w:t xml:space="preserve">  □ 关注（建议补充增信措施后审批）</w:t>
      </w:r>
    </w:p>
    <w:p>
      <w:r>
        <w:t xml:space="preserve">  □ 危险（建议直接否决）</w:t>
      </w:r>
    </w:p>
    <w:p>
      <w:r>
        <w:t>建议：</w:t>
      </w:r>
    </w:p>
    <w:p/>
    <w:p/>
    <w:p>
      <w:pPr>
        <w:pStyle w:val="Heading1"/>
      </w:pPr>
      <w:r>
        <w:rPr>
          <w:color w:val="1A3F7A"/>
          <w:sz w:val="26"/>
        </w:rPr>
        <w:t>七、签字栏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20"/>
              </w:rPr>
              <w:t>客户经理签字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20"/>
              </w:rPr>
              <w:t>日期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20"/>
              </w:rPr>
              <w:t>复核人签字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20"/>
              </w:rPr>
              <w:t>日期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20"/>
              </w:rPr>
              <w:t>分管领导签字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b/>
                <w:sz w:val="20"/>
              </w:rPr>
              <w:t>日期</w:t>
            </w:r>
          </w:p>
        </w:tc>
        <w:tc>
          <w:tcPr>
            <w:tcW w:type="dxa" w:w="2268"/>
          </w:tcPr>
          <w:p>
            <w:r>
              <w:rPr>
                <w:rFonts w:ascii="微软雅黑" w:hAnsi="微软雅黑"/>
                <w:sz w:val="20"/>
              </w:rPr>
            </w:r>
          </w:p>
        </w:tc>
      </w:tr>
    </w:tbl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